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lang w:val="en-US" w:eastAsia="zh-CN"/>
        </w:rPr>
      </w:pPr>
      <w:bookmarkStart w:id="0" w:name="_GoBack"/>
      <w:bookmarkEnd w:id="0"/>
      <w:r>
        <w:rPr>
          <w:rFonts w:hint="eastAsia" w:ascii="仿宋_GB2312" w:hAnsi="仿宋_GB2312" w:eastAsia="仿宋_GB2312" w:cs="仿宋_GB2312"/>
          <w:kern w:val="0"/>
          <w:sz w:val="32"/>
          <w:szCs w:val="32"/>
          <w:highlight w:val="none"/>
          <w:lang w:eastAsia="zh-CN"/>
        </w:rPr>
        <w:t>附件</w:t>
      </w:r>
      <w:r>
        <w:rPr>
          <w:rFonts w:hint="eastAsia" w:ascii="仿宋_GB2312" w:hAnsi="仿宋_GB2312" w:eastAsia="仿宋_GB2312" w:cs="仿宋_GB2312"/>
          <w:kern w:val="0"/>
          <w:sz w:val="32"/>
          <w:szCs w:val="32"/>
          <w:highlight w:val="none"/>
          <w:lang w:val="en-US" w:eastAsia="zh-CN"/>
        </w:rPr>
        <w:t>5</w:t>
      </w:r>
    </w:p>
    <w:p>
      <w:pPr>
        <w:keepNext w:val="0"/>
        <w:keepLines w:val="0"/>
        <w:pageBreakBefore w:val="0"/>
        <w:kinsoku/>
        <w:wordWrap/>
        <w:overflowPunct/>
        <w:topLinePunct w:val="0"/>
        <w:autoSpaceDE/>
        <w:autoSpaceDN/>
        <w:bidi w:val="0"/>
        <w:adjustRightInd/>
        <w:spacing w:line="600" w:lineRule="exact"/>
        <w:textAlignment w:val="auto"/>
        <w:rPr>
          <w:rFonts w:hint="default"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最高人民法院</w:t>
      </w:r>
      <w:r>
        <w:rPr>
          <w:rFonts w:hint="eastAsia" w:ascii="方正小标宋简体" w:hAnsi="方正小标宋简体" w:eastAsia="方正小标宋简体" w:cs="方正小标宋简体"/>
          <w:kern w:val="0"/>
          <w:sz w:val="44"/>
          <w:szCs w:val="44"/>
          <w:highlight w:val="none"/>
          <w:lang w:eastAsia="zh-CN"/>
        </w:rPr>
        <w:t>、</w:t>
      </w:r>
      <w:r>
        <w:rPr>
          <w:rFonts w:hint="eastAsia" w:ascii="方正小标宋简体" w:hAnsi="方正小标宋简体" w:eastAsia="方正小标宋简体" w:cs="方正小标宋简体"/>
          <w:kern w:val="0"/>
          <w:sz w:val="44"/>
          <w:szCs w:val="44"/>
          <w:highlight w:val="none"/>
        </w:rPr>
        <w:t>最高人民检察院关于办理组织考试作弊等刑事案件适用法律若干问题的解释</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44"/>
          <w:szCs w:val="44"/>
          <w:highlight w:val="none"/>
        </w:rPr>
      </w:pP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lang w:val="en-US" w:eastAsia="zh-CN"/>
        </w:rPr>
      </w:pPr>
      <w:r>
        <w:rPr>
          <w:rFonts w:hint="eastAsia" w:hAnsi="仿宋" w:eastAsia="仿宋"/>
          <w:kern w:val="0"/>
          <w:sz w:val="22"/>
          <w:szCs w:val="22"/>
          <w:highlight w:val="none"/>
          <w:lang w:val="en-US" w:eastAsia="zh-CN"/>
        </w:rPr>
        <w:t xml:space="preserve">   </w:t>
      </w:r>
      <w:r>
        <w:rPr>
          <w:rFonts w:hint="eastAsia" w:hAnsi="仿宋" w:eastAsia="仿宋"/>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最高人民法院</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最高人民检察院关于办理组织考试作弊等刑事案件适用法律若干问题的解释</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已于</w:t>
      </w:r>
      <w:r>
        <w:rPr>
          <w:rFonts w:hint="eastAsia" w:ascii="仿宋_GB2312" w:hAnsi="仿宋_GB2312" w:eastAsia="仿宋_GB2312" w:cs="仿宋_GB2312"/>
          <w:kern w:val="0"/>
          <w:sz w:val="32"/>
          <w:szCs w:val="32"/>
          <w:highlight w:val="none"/>
          <w:lang w:val="en-US" w:eastAsia="zh-CN"/>
        </w:rPr>
        <w:t>2019年4月8日由</w:t>
      </w:r>
      <w:r>
        <w:rPr>
          <w:rFonts w:hint="eastAsia" w:ascii="仿宋_GB2312" w:hAnsi="仿宋_GB2312" w:eastAsia="仿宋_GB2312" w:cs="仿宋_GB2312"/>
          <w:kern w:val="0"/>
          <w:sz w:val="32"/>
          <w:szCs w:val="32"/>
          <w:highlight w:val="none"/>
          <w:lang w:eastAsia="zh-CN"/>
        </w:rPr>
        <w:t>最高人民法院审判委员会第</w:t>
      </w:r>
      <w:r>
        <w:rPr>
          <w:rFonts w:hint="eastAsia" w:ascii="仿宋_GB2312" w:hAnsi="仿宋_GB2312" w:eastAsia="仿宋_GB2312" w:cs="仿宋_GB2312"/>
          <w:kern w:val="0"/>
          <w:sz w:val="32"/>
          <w:szCs w:val="32"/>
          <w:highlight w:val="none"/>
          <w:lang w:val="en-US" w:eastAsia="zh-CN"/>
        </w:rPr>
        <w:t>1765次会议、2019年6月28日由</w:t>
      </w:r>
      <w:r>
        <w:rPr>
          <w:rFonts w:hint="eastAsia" w:ascii="仿宋_GB2312" w:hAnsi="仿宋_GB2312" w:eastAsia="仿宋_GB2312" w:cs="仿宋_GB2312"/>
          <w:kern w:val="0"/>
          <w:sz w:val="32"/>
          <w:szCs w:val="32"/>
          <w:highlight w:val="none"/>
          <w:lang w:eastAsia="zh-CN"/>
        </w:rPr>
        <w:t>最高人民检察院第十三届检察委员会第二十次会议通过，现予公布，自</w:t>
      </w:r>
      <w:r>
        <w:rPr>
          <w:rFonts w:hint="eastAsia" w:ascii="仿宋_GB2312" w:hAnsi="仿宋_GB2312" w:eastAsia="仿宋_GB2312" w:cs="仿宋_GB2312"/>
          <w:kern w:val="0"/>
          <w:sz w:val="32"/>
          <w:szCs w:val="32"/>
          <w:highlight w:val="none"/>
          <w:lang w:val="en-US" w:eastAsia="zh-CN"/>
        </w:rPr>
        <w:t>2019年9月4日起施行。</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最高人民法院 最高人民检察院</w:t>
      </w: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2019年9月2日</w:t>
      </w:r>
    </w:p>
    <w:p>
      <w:pPr>
        <w:keepNext w:val="0"/>
        <w:keepLines w:val="0"/>
        <w:pageBreakBefore w:val="0"/>
        <w:kinsoku/>
        <w:wordWrap/>
        <w:overflowPunct/>
        <w:topLinePunct w:val="0"/>
        <w:autoSpaceDE/>
        <w:autoSpaceDN/>
        <w:bidi w:val="0"/>
        <w:adjustRightInd/>
        <w:spacing w:line="600" w:lineRule="exact"/>
        <w:jc w:val="righ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textAlignment w:val="auto"/>
        <w:rPr>
          <w:rFonts w:hint="default"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最高人民法院</w:t>
      </w:r>
      <w:r>
        <w:rPr>
          <w:rFonts w:hint="eastAsia" w:ascii="方正小标宋简体" w:hAnsi="方正小标宋简体" w:eastAsia="方正小标宋简体" w:cs="方正小标宋简体"/>
          <w:kern w:val="0"/>
          <w:sz w:val="44"/>
          <w:szCs w:val="44"/>
          <w:highlight w:val="none"/>
          <w:lang w:eastAsia="zh-CN"/>
        </w:rPr>
        <w:t>、</w:t>
      </w:r>
      <w:r>
        <w:rPr>
          <w:rFonts w:hint="eastAsia" w:ascii="方正小标宋简体" w:hAnsi="方正小标宋简体" w:eastAsia="方正小标宋简体" w:cs="方正小标宋简体"/>
          <w:kern w:val="0"/>
          <w:sz w:val="44"/>
          <w:szCs w:val="44"/>
          <w:highlight w:val="none"/>
        </w:rPr>
        <w:t>最高人民检察院关于办理组织考试作弊等刑事案件适用法律若干问题的解释</w:t>
      </w:r>
    </w:p>
    <w:p>
      <w:pPr>
        <w:keepNext w:val="0"/>
        <w:keepLines w:val="0"/>
        <w:pageBreakBefore w:val="0"/>
        <w:kinsoku/>
        <w:wordWrap/>
        <w:overflowPunct/>
        <w:topLinePunct w:val="0"/>
        <w:autoSpaceDE/>
        <w:autoSpaceDN/>
        <w:bidi w:val="0"/>
        <w:adjustRightInd/>
        <w:spacing w:line="600" w:lineRule="exact"/>
        <w:jc w:val="right"/>
        <w:textAlignment w:val="auto"/>
        <w:rPr>
          <w:rFonts w:hint="default" w:ascii="仿宋_GB2312" w:hAnsi="仿宋_GB2312" w:eastAsia="仿宋_GB2312" w:cs="仿宋_GB2312"/>
          <w:kern w:val="0"/>
          <w:sz w:val="32"/>
          <w:szCs w:val="32"/>
          <w:highlight w:val="none"/>
          <w:lang w:val="en-US" w:eastAsia="zh-CN"/>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为依法惩治组织考试作弊、非法出售、提供试题、答案、代替考试等犯罪，维护考试公平与秩序，根据《中华人民共和国刑法》《中华人民共和国刑事诉讼法》的规定，现就办理此类刑事案件适用法律的若干问题解释如下：</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第一条 刑法第二百八十四条之一规定的“法律规定的国家考试”，仅限于全国人民代表大会及其常务委员会制定的法律所规定的考试。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根据有关法律规定，下列考试属于“法律规定的国家考试”：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（一）普通高等学校招生考试、研究生招生考试、高等教育自学考试、成人高等学校招生考试等国家教育考试；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（二）中央和地方公务员录用考试；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（四）其他依照法律由中央或者地方主管部门以及行业组织的国家考试。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前款规定的考试涉及的特殊类型招生、特殊技能测试、面试等考试，属于“法律规定的国家考试”。</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第二条 在法律规定的国家考试中，组织作弊，具有下列情形之一的，应当认定为刑法第二百八十四条之一第一款规定的“情节严重”：</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（一）在普通高等学校招生考试、研究生招生考试、公务员录用考试中组织考试作弊的；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（二）导致考试推迟、取消或者启用备用试题的；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（三）考试工作人员组织考试作弊的；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（四）组织考生跨省、自治区、直辖市作弊的；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（五）多次组织考试作弊的；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（六）组织三十人次以上作弊的；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（七）提供作弊器材五十件以上的；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（八）违法所得三十万元以上的；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（九）其他情节严重的情形。</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第四条 组织考试作弊，在考试开始之前被查获,但已经非法获取考试试题、答案或者具有其他严重扰乱考试秩序情形的，应当认定为组织考试作弊罪既遂。</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第五条 为实施考试作弊行为，非法出售或者提供法律规定的国家考试的试题、答案，具有下列情形之一的，应当认定为刑法第二百八十四条之一第三款规定的“情节严重”：</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（一）非法出售或者提供普通高等学校招生考试、研究生招生考试、公务员录用考试的试题、答案的；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（二）导致考试推迟、取消或者启用备用试题的;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（三）考试工作人员非法出售或者提供试题、答案的；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（四）多次非法出售或者提供试题、答案的；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（五）向三十人次以上非法出售或者提供试题、答案的；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（六）违法所得三十万元以上的；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（七）其他情节严重的情形。</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第六条 为实施考试作弊行为，向他人非法出售或者提供法律规定的国家考试的试题、答案，试题不完整或者答案与标准答案不完全一致的，不影响非法出售、提供试题、答案罪的认定。</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第七条 代替他人或者让他人代替自己参加法律规定的国家考试的，应当依照刑法第二百八十四条之一第四款的规定，以代替考试罪定罪处罚。</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第八条 单位实施组织考试作弊、非法出售、提供试题、答案等行为的，依照本解释规定的相应定罪量刑标准，追究组织者、策划者、实施者的刑事责任。</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第十二条 对于实施本解释规定的犯罪被判处刑罚的，可以根据犯罪情况和预防再犯罪的需要，依法宣告职业禁止；被判处管制、宣告缓刑的，可以根据犯罪情况，依法宣告禁止令。</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第十三条 对于实施本解释规定的行为构成犯罪的，应当综合考虑犯罪的危害程度、违法所得数额以及被告人的前科情况、认罪悔罪态度等，依法判处罚金。</w:t>
      </w:r>
    </w:p>
    <w:p>
      <w:pPr>
        <w:spacing w:line="600" w:lineRule="exact"/>
      </w:pPr>
      <w:r>
        <w:rPr>
          <w:rFonts w:hint="eastAsia" w:ascii="仿宋_GB2312" w:hAnsi="仿宋_GB2312" w:eastAsia="仿宋_GB2312" w:cs="仿宋_GB2312"/>
          <w:kern w:val="0"/>
          <w:sz w:val="32"/>
          <w:szCs w:val="32"/>
          <w:highlight w:val="none"/>
        </w:rPr>
        <w:t>　　第十四条 本解释自2019年9月4日起施行。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JhMjZlMTRhNDg0Y2JmOGRjYmRmNTE2MWIzNDQifQ=="/>
  </w:docVars>
  <w:rsids>
    <w:rsidRoot w:val="76FF0A14"/>
    <w:rsid w:val="0D9A3BEB"/>
    <w:rsid w:val="4FFFAC8F"/>
    <w:rsid w:val="705B6EC7"/>
    <w:rsid w:val="76FF0A14"/>
    <w:rsid w:val="7A3D2ED7"/>
    <w:rsid w:val="9B79E2F9"/>
    <w:rsid w:val="EBAF575A"/>
    <w:rsid w:val="EDDD9017"/>
    <w:rsid w:val="FBD727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2273</Words>
  <Characters>2292</Characters>
  <Lines>0</Lines>
  <Paragraphs>0</Paragraphs>
  <TotalTime>0</TotalTime>
  <ScaleCrop>false</ScaleCrop>
  <LinksUpToDate>false</LinksUpToDate>
  <CharactersWithSpaces>2432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2022-07-16T11:10:00Z</dcterms:created>
  <dc:creator>user</dc:creator>
  <cp:lastModifiedBy>NINGMEI</cp:lastModifiedBy>
  <dcterms:modified xsi:type="dcterms:W3CDTF">2022-07-18T01:05:14Z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C9EC8C21E78B4B3CBFA27BE81F36512E</vt:lpwstr>
  </property>
</Properties>
</file>